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12 (Clustering)</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required where various Other Contracting Authorities want to join with the Buyer to efficiently contract collectively under a single Call Off Contract rather than as separate individual Buyers under separate Call Off Contracts. </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“Cluster Members"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 person named as such in Annex A to this Schedule which shall be incorporated into the Order Form. </w:t>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Cluster Members benefits under the Contract</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has entered into this Call-Off Contract both for its own benefit and for the </w:t>
      </w:r>
      <w:r w:rsidDel="00000000" w:rsidR="00000000" w:rsidRPr="00000000">
        <w:rPr>
          <w:sz w:val="24"/>
          <w:szCs w:val="24"/>
          <w:rtl w:val="0"/>
        </w:rPr>
        <w:t xml:space="preserve">benefit of the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Cluster Members.  </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Cluster Members who are to benefit under the Call-Off Contract are </w:t>
      </w:r>
      <w:r w:rsidDel="00000000" w:rsidR="00000000" w:rsidRPr="00000000">
        <w:rPr>
          <w:sz w:val="24"/>
          <w:szCs w:val="24"/>
          <w:rtl w:val="0"/>
        </w:rPr>
        <w:t xml:space="preserve">identified in Annex</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1 to this Schedule which shall be included </w:t>
      </w:r>
      <w:r w:rsidDel="00000000" w:rsidR="00000000" w:rsidRPr="00000000">
        <w:rPr>
          <w:sz w:val="24"/>
          <w:szCs w:val="24"/>
          <w:rtl w:val="0"/>
        </w:rPr>
        <w:t xml:space="preserve">in the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Order Form.</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Cluster Members shall have all of the rights granted to the Buyer under a Call-Off Contract.  Accordingly, where the context requires in order to assure the Cluster Members rights and benefits under a Call-Off Contract, and unless the Buyer otherwise specifies, references to the Buyer in a Call-Off Contract (including those references to a Party which are intended to relate to the Buyer) shall be deemed to include a reference to the Cluster Members.</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of the Cluster Members will be a third party beneficiary for the purposes of the CRTPA and may enforce the relevant provisions of a Call-Off Contract pursuant to CRTPA.  </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to a Call-Off Contract </w:t>
      </w:r>
      <w:r w:rsidDel="00000000" w:rsidR="00000000" w:rsidRPr="00000000">
        <w:rPr>
          <w:sz w:val="24"/>
          <w:szCs w:val="24"/>
          <w:rtl w:val="0"/>
        </w:rPr>
        <w:t xml:space="preserve">may, in accordance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with its </w:t>
      </w:r>
      <w:r w:rsidDel="00000000" w:rsidR="00000000" w:rsidRPr="00000000">
        <w:rPr>
          <w:sz w:val="24"/>
          <w:szCs w:val="24"/>
          <w:rtl w:val="0"/>
        </w:rPr>
        <w:t xml:space="preserve">provisions; vary,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or rescind that Call-Off Contract or any part of it, without the consent of any Cluster Member.</w:t>
      </w:r>
    </w:p>
    <w:p w:rsidR="00000000" w:rsidDel="00000000" w:rsidP="00000000" w:rsidRDefault="00000000" w:rsidRPr="00000000" w14:paraId="0000000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enforcement rights granted to Cluster Members under Paragraph 1.4 are subject to the following provisions: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enforce any provision of a Call-Off Contract on behalf of a Cluster Member; </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from a Cluster Member under the CRTPA to enforce a Call-Off Contract shall be brought by the Buyer if reasonably practicable for the Buyer and Cluster Member to do so; and</w:t>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limits and exclusions of liability in the Call-Off Contract shall apply to any claim to enforce a Call-Off Contract made by the Buyer on behalf of a Cluster Member and to any claim to enforce a Call-Off Contract made by a Cluster Member acting on its own behalf.</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that Cluster Members shall each receive the same Services from the Supplier the following adjustments will apply in relation to how the Call-Off Contract will operate in relation to the Buyer and Cluster Members:</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will be provided by the Supplier to each Cluster Member and Buyer separately; </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obligation in regards to reporting will be owed to each Cluster Member and Buyer separately;</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Cluster Members shall be entitled to separate invoices in respect of the provision of Deliverables; </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separate invoices will correlate to the Deliverables provided to the respective Buyer and Cluster Members;</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to be paid for the Deliverables shall be calculated on a per Cluster Member and Buyer basis and each Cluster Member and the Buyer shall be responsible for paying their respective Charges;</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Levels and corresponding Service Credits will be calculated in respect of each Cluster Member and Buyer, and they will be reported and deducted against Charges due by each respective Cluster Member and Buyer; and</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further adjustments as the Buyer and each Cluster Member may </w:t>
      </w:r>
      <w:r w:rsidDel="00000000" w:rsidR="00000000" w:rsidRPr="00000000">
        <w:rPr>
          <w:sz w:val="24"/>
          <w:szCs w:val="24"/>
          <w:rtl w:val="0"/>
        </w:rPr>
        <w:t xml:space="preserve">notify the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Supplier from time to time. </w:t>
      </w:r>
    </w:p>
    <w:p w:rsidR="00000000" w:rsidDel="00000000" w:rsidP="00000000" w:rsidRDefault="00000000" w:rsidRPr="00000000" w14:paraId="00000019">
      <w:pPr>
        <w:spacing w:after="200" w:line="276" w:lineRule="auto"/>
        <w:ind w:left="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 Cluster Members</w:t>
      </w:r>
    </w:p>
    <w:p w:rsidR="00000000" w:rsidDel="00000000" w:rsidP="00000000" w:rsidRDefault="00000000" w:rsidRPr="00000000" w14:paraId="0000001C">
      <w:pPr>
        <w:ind w:left="0" w:firstLine="0"/>
        <w:jc w:val="left"/>
        <w:rPr>
          <w:sz w:val="24"/>
          <w:szCs w:val="24"/>
        </w:rPr>
      </w:pPr>
      <w:r w:rsidDel="00000000" w:rsidR="00000000" w:rsidRPr="00000000">
        <w:rPr>
          <w:sz w:val="24"/>
          <w:szCs w:val="24"/>
          <w:rtl w:val="0"/>
        </w:rPr>
        <w:t xml:space="preserve">The Deliverables shall also be provided for the benefit of the following Cluster Members:</w:t>
      </w:r>
    </w:p>
    <w:tbl>
      <w:tblPr>
        <w:tblStyle w:val="Table1"/>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rPr>
          <w:cantSplit w:val="0"/>
          <w:tblHeader w:val="0"/>
        </w:trPr>
        <w:tc>
          <w:tcPr/>
          <w:p w:rsidR="00000000" w:rsidDel="00000000" w:rsidP="00000000" w:rsidRDefault="00000000" w:rsidRPr="00000000" w14:paraId="0000001D">
            <w:pPr>
              <w:keepNext w:val="1"/>
              <w:keepLines w:val="1"/>
              <w:spacing w:before="200" w:line="276" w:lineRule="auto"/>
              <w:ind w:left="0" w:firstLine="0"/>
              <w:jc w:val="left"/>
              <w:rPr>
                <w:sz w:val="24"/>
                <w:szCs w:val="24"/>
              </w:rPr>
            </w:pPr>
            <w:r w:rsidDel="00000000" w:rsidR="00000000" w:rsidRPr="00000000">
              <w:rPr>
                <w:sz w:val="24"/>
                <w:szCs w:val="24"/>
                <w:rtl w:val="0"/>
              </w:rPr>
              <w:t xml:space="preserve">Name of Cluster Member</w:t>
            </w:r>
          </w:p>
        </w:tc>
        <w:tc>
          <w:tcPr/>
          <w:p w:rsidR="00000000" w:rsidDel="00000000" w:rsidP="00000000" w:rsidRDefault="00000000" w:rsidRPr="00000000" w14:paraId="0000001E">
            <w:pPr>
              <w:keepNext w:val="1"/>
              <w:keepLines w:val="1"/>
              <w:spacing w:before="200" w:line="276" w:lineRule="auto"/>
              <w:ind w:left="0" w:firstLine="0"/>
              <w:jc w:val="left"/>
              <w:rPr>
                <w:sz w:val="24"/>
                <w:szCs w:val="24"/>
              </w:rPr>
            </w:pPr>
            <w:r w:rsidDel="00000000" w:rsidR="00000000" w:rsidRPr="00000000">
              <w:rPr>
                <w:sz w:val="24"/>
                <w:szCs w:val="24"/>
                <w:rtl w:val="0"/>
              </w:rPr>
              <w:t xml:space="preserve">Services to be provided</w:t>
            </w:r>
          </w:p>
        </w:tc>
        <w:tc>
          <w:tcPr/>
          <w:p w:rsidR="00000000" w:rsidDel="00000000" w:rsidP="00000000" w:rsidRDefault="00000000" w:rsidRPr="00000000" w14:paraId="0000001F">
            <w:pPr>
              <w:keepNext w:val="1"/>
              <w:keepLines w:val="1"/>
              <w:spacing w:before="200" w:line="276" w:lineRule="auto"/>
              <w:ind w:left="0" w:firstLine="0"/>
              <w:jc w:val="left"/>
              <w:rPr>
                <w:sz w:val="24"/>
                <w:szCs w:val="24"/>
              </w:rPr>
            </w:pPr>
            <w:r w:rsidDel="00000000" w:rsidR="00000000" w:rsidRPr="00000000">
              <w:rPr>
                <w:sz w:val="24"/>
                <w:szCs w:val="24"/>
                <w:rtl w:val="0"/>
              </w:rPr>
              <w:t xml:space="preserve">Duration</w:t>
            </w:r>
          </w:p>
        </w:tc>
        <w:tc>
          <w:tcPr/>
          <w:p w:rsidR="00000000" w:rsidDel="00000000" w:rsidP="00000000" w:rsidRDefault="00000000" w:rsidRPr="00000000" w14:paraId="00000020">
            <w:pPr>
              <w:keepNext w:val="1"/>
              <w:keepLines w:val="1"/>
              <w:spacing w:before="200" w:line="276" w:lineRule="auto"/>
              <w:ind w:left="0" w:firstLine="0"/>
              <w:jc w:val="left"/>
              <w:rPr>
                <w:sz w:val="24"/>
                <w:szCs w:val="24"/>
              </w:rPr>
            </w:pPr>
            <w:r w:rsidDel="00000000" w:rsidR="00000000" w:rsidRPr="00000000">
              <w:rPr>
                <w:sz w:val="24"/>
                <w:szCs w:val="24"/>
                <w:rtl w:val="0"/>
              </w:rPr>
              <w:t xml:space="preserve">Special Terms</w:t>
            </w:r>
          </w:p>
        </w:tc>
      </w:tr>
      <w:tr>
        <w:trPr>
          <w:cantSplit w:val="0"/>
          <w:tblHeader w:val="0"/>
        </w:trPr>
        <w:tc>
          <w:tcPr/>
          <w:p w:rsidR="00000000" w:rsidDel="00000000" w:rsidP="00000000" w:rsidRDefault="00000000" w:rsidRPr="00000000" w14:paraId="00000021">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2">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3">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4">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5">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6">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7">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8">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9">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A">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B">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C">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D">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E">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F">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30">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bl>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i w:val="0"/>
          <w:smallCaps w:val="0"/>
          <w:strike w:val="0"/>
          <w:color w:val="000000"/>
          <w:sz w:val="24"/>
          <w:szCs w:val="24"/>
          <w:u w:val="single"/>
          <w:shd w:fill="auto" w:val="clear"/>
          <w:vertAlign w:val="baseline"/>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RM6186 – Fuel Cards VI</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12 (Clustering)</w:t>
    </w:r>
    <w:r w:rsidDel="00000000" w:rsidR="00000000" w:rsidRPr="00000000">
      <w:rPr>
        <w:rtl w:val="0"/>
      </w:rPr>
    </w:r>
  </w:p>
  <w:p w:rsidR="00000000" w:rsidDel="00000000" w:rsidP="00000000" w:rsidRDefault="00000000" w:rsidRPr="00000000" w14:paraId="00000033">
    <w:pPr>
      <w:tabs>
        <w:tab w:val="left" w:pos="3899"/>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034">
    <w:pPr>
      <w:tabs>
        <w:tab w:val="left" w:pos="3899"/>
      </w:tabs>
      <w:spacing w:after="0" w:lineRule="auto"/>
      <w:ind w:left="0" w:firstLine="0"/>
      <w:jc w:val="left"/>
      <w:rPr>
        <w:color w:val="000000"/>
        <w:sz w:val="20"/>
        <w:szCs w:val="20"/>
      </w:rPr>
    </w:pPr>
    <w:r w:rsidDel="00000000" w:rsidR="00000000" w:rsidRPr="00000000">
      <w:rPr>
        <w:sz w:val="20"/>
        <w:szCs w:val="20"/>
        <w:rtl w:val="0"/>
      </w:rPr>
      <w:t xml:space="preserve">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2021</w:t>
    </w:r>
  </w:p>
  <w:p w:rsidR="00000000" w:rsidDel="00000000" w:rsidP="00000000" w:rsidRDefault="00000000" w:rsidRPr="00000000" w14:paraId="00000035">
    <w:pPr>
      <w:tabs>
        <w:tab w:val="left" w:pos="3899"/>
      </w:tabs>
      <w:spacing w:after="0" w:lineRule="auto"/>
      <w:ind w:left="0" w:firstLine="0"/>
      <w:jc w:val="left"/>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720" w:hanging="720"/>
    </w:pPr>
    <w:rPr>
      <w:rFonts w:ascii="Times New Roman" w:cs="Times New Roman" w:eastAsia="Times New Roman" w:hAnsi="Times New Roman"/>
    </w:rPr>
  </w:style>
  <w:style w:type="paragraph" w:styleId="Heading2">
    <w:name w:val="heading 2"/>
    <w:basedOn w:val="Normal"/>
    <w:next w:val="Normal"/>
    <w:pPr>
      <w:ind w:left="720" w:hanging="720"/>
    </w:pPr>
    <w:rPr>
      <w:rFonts w:ascii="Times New Roman" w:cs="Times New Roman" w:eastAsia="Times New Roman" w:hAnsi="Times New Roman"/>
    </w:rPr>
  </w:style>
  <w:style w:type="paragraph" w:styleId="Heading3">
    <w:name w:val="heading 3"/>
    <w:basedOn w:val="Normal"/>
    <w:next w:val="Normal"/>
    <w:pPr>
      <w:ind w:left="1800" w:hanging="1080"/>
    </w:pPr>
    <w:rPr>
      <w:rFonts w:ascii="Times New Roman" w:cs="Times New Roman" w:eastAsia="Times New Roman" w:hAnsi="Times New Roman"/>
    </w:rPr>
  </w:style>
  <w:style w:type="paragraph" w:styleId="Heading4">
    <w:name w:val="heading 4"/>
    <w:basedOn w:val="Normal"/>
    <w:next w:val="Normal"/>
    <w:pPr>
      <w:ind w:left="2880" w:hanging="1080"/>
    </w:pPr>
    <w:rPr>
      <w:rFonts w:ascii="Times New Roman" w:cs="Times New Roman" w:eastAsia="Times New Roman" w:hAnsi="Times New Roman"/>
    </w:rPr>
  </w:style>
  <w:style w:type="paragraph" w:styleId="Heading5">
    <w:name w:val="heading 5"/>
    <w:basedOn w:val="Normal"/>
    <w:next w:val="Normal"/>
    <w:pPr>
      <w:ind w:left="3600" w:hanging="720"/>
    </w:pPr>
    <w:rPr>
      <w:rFonts w:ascii="Times New Roman" w:cs="Times New Roman" w:eastAsia="Times New Roman" w:hAnsi="Times New Roman"/>
    </w:rPr>
  </w:style>
  <w:style w:type="paragraph" w:styleId="Heading6">
    <w:name w:val="heading 6"/>
    <w:basedOn w:val="Normal"/>
    <w:next w:val="Normal"/>
    <w:pPr>
      <w:ind w:left="4320" w:hanging="720"/>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paragraph" w:styleId="Heading1">
    <w:name w:val="heading 1"/>
    <w:basedOn w:val="Normal"/>
    <w:link w:val="Heading1Char"/>
    <w:qFormat w:val="1"/>
    <w:pPr>
      <w:numPr>
        <w:numId w:val="22"/>
      </w:numPr>
      <w:overflowPunct w:val="1"/>
      <w:autoSpaceDE w:val="1"/>
      <w:autoSpaceDN w:val="1"/>
      <w:textAlignment w:val="auto"/>
      <w:outlineLvl w:val="0"/>
    </w:pPr>
    <w:rPr>
      <w:rFonts w:ascii="Times New Roman" w:cs="Times New Roman" w:eastAsia="STZhongsong" w:hAnsi="Times New Roman"/>
      <w:szCs w:val="20"/>
      <w:lang w:eastAsia="zh-CN"/>
    </w:rPr>
  </w:style>
  <w:style w:type="paragraph" w:styleId="Heading2">
    <w:name w:val="heading 2"/>
    <w:basedOn w:val="Normal"/>
    <w:link w:val="Heading2Char"/>
    <w:qFormat w:val="1"/>
    <w:pPr>
      <w:numPr>
        <w:ilvl w:val="1"/>
        <w:numId w:val="22"/>
      </w:numPr>
      <w:overflowPunct w:val="1"/>
      <w:autoSpaceDE w:val="1"/>
      <w:autoSpaceDN w:val="1"/>
      <w:textAlignment w:val="auto"/>
      <w:outlineLvl w:val="1"/>
    </w:pPr>
    <w:rPr>
      <w:rFonts w:ascii="Times New Roman" w:cs="Times New Roman" w:eastAsia="STZhongsong" w:hAnsi="Times New Roman"/>
      <w:szCs w:val="20"/>
      <w:lang w:eastAsia="zh-CN"/>
    </w:rPr>
  </w:style>
  <w:style w:type="paragraph" w:styleId="Heading3">
    <w:name w:val="heading 3"/>
    <w:basedOn w:val="Normal"/>
    <w:link w:val="Heading3Char"/>
    <w:qFormat w:val="1"/>
    <w:pPr>
      <w:numPr>
        <w:ilvl w:val="2"/>
        <w:numId w:val="22"/>
      </w:numPr>
      <w:overflowPunct w:val="1"/>
      <w:autoSpaceDE w:val="1"/>
      <w:autoSpaceDN w:val="1"/>
      <w:textAlignment w:val="auto"/>
      <w:outlineLvl w:val="2"/>
    </w:pPr>
    <w:rPr>
      <w:rFonts w:ascii="Times New Roman" w:cs="Times New Roman" w:eastAsia="STZhongsong" w:hAnsi="Times New Roman"/>
      <w:szCs w:val="20"/>
      <w:lang w:eastAsia="zh-CN"/>
    </w:rPr>
  </w:style>
  <w:style w:type="paragraph" w:styleId="Heading4">
    <w:name w:val="heading 4"/>
    <w:basedOn w:val="Normal"/>
    <w:link w:val="Heading4Char"/>
    <w:qFormat w:val="1"/>
    <w:pPr>
      <w:numPr>
        <w:ilvl w:val="3"/>
        <w:numId w:val="22"/>
      </w:numPr>
      <w:overflowPunct w:val="1"/>
      <w:autoSpaceDE w:val="1"/>
      <w:autoSpaceDN w:val="1"/>
      <w:textAlignment w:val="auto"/>
      <w:outlineLvl w:val="3"/>
    </w:pPr>
    <w:rPr>
      <w:rFonts w:ascii="Times New Roman" w:cs="Times New Roman" w:eastAsia="STZhongsong" w:hAnsi="Times New Roman"/>
      <w:szCs w:val="20"/>
      <w:lang w:eastAsia="zh-CN"/>
    </w:rPr>
  </w:style>
  <w:style w:type="paragraph" w:styleId="Heading5">
    <w:name w:val="heading 5"/>
    <w:basedOn w:val="Normal"/>
    <w:link w:val="Heading5Char"/>
    <w:qFormat w:val="1"/>
    <w:pPr>
      <w:numPr>
        <w:ilvl w:val="4"/>
        <w:numId w:val="22"/>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Heading6">
    <w:name w:val="heading 6"/>
    <w:basedOn w:val="Normal"/>
    <w:link w:val="Heading6Char"/>
    <w:qFormat w:val="1"/>
    <w:pPr>
      <w:numPr>
        <w:ilvl w:val="5"/>
        <w:numId w:val="22"/>
      </w:numPr>
      <w:overflowPunct w:val="1"/>
      <w:autoSpaceDE w:val="1"/>
      <w:autoSpaceDN w:val="1"/>
      <w:textAlignment w:val="auto"/>
      <w:outlineLvl w:val="5"/>
    </w:pPr>
    <w:rPr>
      <w:rFonts w:ascii="Times New Roman" w:cs="Times New Roman" w:eastAsia="STZhongsong" w:hAnsi="Times New Roman"/>
      <w:szCs w:val="20"/>
      <w:lang w:eastAsia="zh-CN"/>
    </w:rPr>
  </w:style>
  <w:style w:type="paragraph" w:styleId="Heading7">
    <w:name w:val="heading 7"/>
    <w:basedOn w:val="Normal"/>
    <w:link w:val="Heading7Char"/>
    <w:qFormat w:val="1"/>
    <w:pPr>
      <w:numPr>
        <w:ilvl w:val="6"/>
        <w:numId w:val="22"/>
      </w:numPr>
      <w:overflowPunct w:val="1"/>
      <w:autoSpaceDE w:val="1"/>
      <w:autoSpaceDN w:val="1"/>
      <w:textAlignment w:val="auto"/>
      <w:outlineLvl w:val="6"/>
    </w:pPr>
    <w:rPr>
      <w:rFonts w:ascii="Times New Roman" w:cs="Times New Roman" w:eastAsia="STZhongsong" w:hAnsi="Times New Roman"/>
      <w:szCs w:val="20"/>
      <w:lang w:eastAsia="zh-CN"/>
    </w:rPr>
  </w:style>
  <w:style w:type="paragraph" w:styleId="Heading8">
    <w:name w:val="heading 8"/>
    <w:basedOn w:val="Normal"/>
    <w:link w:val="Heading8Char"/>
    <w:qFormat w:val="1"/>
    <w:pPr>
      <w:numPr>
        <w:ilvl w:val="7"/>
        <w:numId w:val="22"/>
      </w:numPr>
      <w:overflowPunct w:val="1"/>
      <w:autoSpaceDE w:val="1"/>
      <w:autoSpaceDN w:val="1"/>
      <w:textAlignment w:val="auto"/>
      <w:outlineLvl w:val="7"/>
    </w:pPr>
    <w:rPr>
      <w:rFonts w:ascii="Times New Roman" w:cs="Times New Roman" w:eastAsia="STZhongsong" w:hAnsi="Times New Roman"/>
      <w:szCs w:val="20"/>
      <w:lang w:eastAsia="zh-CN"/>
    </w:rPr>
  </w:style>
  <w:style w:type="paragraph" w:styleId="Heading9">
    <w:name w:val="heading 9"/>
    <w:basedOn w:val="Normal"/>
    <w:link w:val="Heading9Char"/>
    <w:qFormat w:val="1"/>
    <w:pPr>
      <w:numPr>
        <w:ilvl w:val="8"/>
        <w:numId w:val="22"/>
      </w:numPr>
      <w:overflowPunct w:val="1"/>
      <w:autoSpaceDE w:val="1"/>
      <w:autoSpaceDN w:val="1"/>
      <w:textAlignment w:val="auto"/>
      <w:outlineLvl w:val="8"/>
    </w:pPr>
    <w:rPr>
      <w:rFonts w:ascii="Times New Roman" w:cs="Times New Roman" w:eastAsia="STZhongsong" w:hAnsi="Times New Roman"/>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clear" w:pos="720"/>
      </w:tabs>
      <w:overflowPunct w:val="1"/>
      <w:autoSpaceDE w:val="1"/>
      <w:autoSpaceDN w:val="1"/>
      <w:spacing w:before="240"/>
      <w:ind w:left="360" w:hanging="360"/>
      <w:textAlignment w:val="auto"/>
      <w:outlineLvl w:val="1"/>
    </w:pPr>
    <w:rPr>
      <w:rFonts w:ascii="Calibri" w:eastAsia="STZhongsong" w:hAnsi="Calibri"/>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rPr>
      <w:rFonts w:ascii="Times New Roman" w:cs="Times New Roman" w:eastAsia="STZhongsong" w:hAnsi="Times New Roman"/>
      <w:szCs w:val="20"/>
      <w:lang w:eastAsia="zh-CN"/>
    </w:rPr>
  </w:style>
  <w:style w:type="character" w:styleId="Heading2Char" w:customStyle="1">
    <w:name w:val="Heading 2 Char"/>
    <w:basedOn w:val="DefaultParagraphFont"/>
    <w:link w:val="Heading2"/>
    <w:rPr>
      <w:rFonts w:ascii="Times New Roman" w:cs="Times New Roman" w:eastAsia="STZhongsong" w:hAnsi="Times New Roman"/>
      <w:szCs w:val="20"/>
      <w:lang w:eastAsia="zh-CN"/>
    </w:rPr>
  </w:style>
  <w:style w:type="character" w:styleId="Heading3Char" w:customStyle="1">
    <w:name w:val="Heading 3 Char"/>
    <w:basedOn w:val="DefaultParagraphFont"/>
    <w:link w:val="Heading3"/>
    <w:rPr>
      <w:rFonts w:ascii="Times New Roman" w:cs="Times New Roman" w:eastAsia="STZhongsong" w:hAnsi="Times New Roman"/>
      <w:szCs w:val="20"/>
      <w:lang w:eastAsia="zh-CN"/>
    </w:rPr>
  </w:style>
  <w:style w:type="character" w:styleId="Heading4Char" w:customStyle="1">
    <w:name w:val="Heading 4 Char"/>
    <w:basedOn w:val="DefaultParagraphFont"/>
    <w:link w:val="Heading4"/>
    <w:rPr>
      <w:rFonts w:ascii="Times New Roman" w:cs="Times New Roman" w:eastAsia="STZhongsong" w:hAnsi="Times New Roman"/>
      <w:szCs w:val="20"/>
      <w:lang w:eastAsia="zh-CN"/>
    </w:rPr>
  </w:style>
  <w:style w:type="character" w:styleId="Heading5Char" w:customStyle="1">
    <w:name w:val="Heading 5 Char"/>
    <w:basedOn w:val="DefaultParagraphFont"/>
    <w:link w:val="Heading5"/>
    <w:rPr>
      <w:rFonts w:ascii="Times New Roman" w:cs="Times New Roman" w:eastAsia="STZhongsong" w:hAnsi="Times New Roman"/>
      <w:szCs w:val="20"/>
      <w:lang w:eastAsia="zh-CN"/>
    </w:rPr>
  </w:style>
  <w:style w:type="character" w:styleId="Heading6Char" w:customStyle="1">
    <w:name w:val="Heading 6 Char"/>
    <w:basedOn w:val="DefaultParagraphFont"/>
    <w:link w:val="Heading6"/>
    <w:rPr>
      <w:rFonts w:ascii="Times New Roman" w:cs="Times New Roman" w:eastAsia="STZhongsong" w:hAnsi="Times New Roman"/>
      <w:szCs w:val="20"/>
      <w:lang w:eastAsia="zh-CN"/>
    </w:rPr>
  </w:style>
  <w:style w:type="character" w:styleId="Heading7Char" w:customStyle="1">
    <w:name w:val="Heading 7 Char"/>
    <w:basedOn w:val="DefaultParagraphFont"/>
    <w:link w:val="Heading7"/>
    <w:rPr>
      <w:rFonts w:ascii="Times New Roman" w:cs="Times New Roman" w:eastAsia="STZhongsong" w:hAnsi="Times New Roman"/>
      <w:szCs w:val="20"/>
      <w:lang w:eastAsia="zh-CN"/>
    </w:rPr>
  </w:style>
  <w:style w:type="character" w:styleId="Heading8Char" w:customStyle="1">
    <w:name w:val="Heading 8 Char"/>
    <w:basedOn w:val="DefaultParagraphFont"/>
    <w:link w:val="Heading8"/>
    <w:rPr>
      <w:rFonts w:ascii="Times New Roman" w:cs="Times New Roman" w:eastAsia="STZhongsong" w:hAnsi="Times New Roman"/>
      <w:szCs w:val="20"/>
      <w:lang w:eastAsia="zh-CN"/>
    </w:rPr>
  </w:style>
  <w:style w:type="character" w:styleId="Heading9Char" w:customStyle="1">
    <w:name w:val="Heading 9 Char"/>
    <w:basedOn w:val="DefaultParagraphFont"/>
    <w:link w:val="Heading9"/>
    <w:rPr>
      <w:rFonts w:ascii="Times New Roman" w:cs="Times New Roman" w:eastAsia="STZhongsong" w:hAnsi="Times New Roman"/>
      <w:szCs w:val="20"/>
      <w:lang w:eastAsia="zh-CN"/>
    </w:rPr>
  </w:style>
  <w:style w:type="paragraph" w:styleId="MarginText" w:customStyle="1">
    <w:name w:val="Margin Text"/>
    <w:basedOn w:val="Normal"/>
    <w:pPr>
      <w:overflowPunct w:val="1"/>
      <w:autoSpaceDE w:val="1"/>
      <w:autoSpaceDN w:val="1"/>
      <w:ind w:left="0"/>
      <w:textAlignment w:val="auto"/>
    </w:pPr>
    <w:rPr>
      <w:rFonts w:ascii="Times New Roman" w:cs="Times New Roman" w:eastAsia="STZhongsong" w:hAnsi="Times New Roman"/>
      <w:szCs w:val="20"/>
      <w:lang w:eastAsia="zh-CN"/>
    </w:rPr>
  </w:style>
  <w:style w:type="numbering" w:styleId="111111">
    <w:name w:val="Outline List 2"/>
    <w:basedOn w:val="NoList"/>
    <w:pPr>
      <w:numPr>
        <w:numId w:val="21"/>
      </w:numPr>
    </w:pPr>
  </w:style>
  <w:style w:type="paragraph" w:styleId="FootnoteText">
    <w:name w:val="footnote text"/>
    <w:basedOn w:val="Normal"/>
    <w:link w:val="FootnoteTextChar"/>
    <w:semiHidden w:val="1"/>
    <w:pPr>
      <w:overflowPunct w:val="1"/>
      <w:autoSpaceDE w:val="1"/>
      <w:autoSpaceDN w:val="1"/>
      <w:spacing w:after="60"/>
      <w:ind w:left="720" w:hanging="720"/>
      <w:textAlignment w:val="auto"/>
    </w:pPr>
    <w:rPr>
      <w:rFonts w:ascii="Times New Roman" w:cs="Times New Roman" w:eastAsia="STZhongsong" w:hAnsi="Times New Roman"/>
      <w:sz w:val="16"/>
      <w:szCs w:val="20"/>
      <w:lang w:eastAsia="zh-CN"/>
    </w:rPr>
  </w:style>
  <w:style w:type="character" w:styleId="FootnoteTextChar" w:customStyle="1">
    <w:name w:val="Footnote Text Char"/>
    <w:basedOn w:val="DefaultParagraphFont"/>
    <w:link w:val="FootnoteText"/>
    <w:semiHidden w:val="1"/>
    <w:rPr>
      <w:rFonts w:ascii="Times New Roman" w:cs="Times New Roman" w:eastAsia="STZhongsong" w:hAnsi="Times New Roman"/>
      <w:sz w:val="16"/>
      <w:szCs w:val="20"/>
      <w:lang w:eastAsia="zh-CN"/>
    </w:rPr>
  </w:style>
  <w:style w:type="character" w:styleId="FootnoteReference">
    <w:name w:val="foot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61hqkh03IczfzmvQa2kfGRWejow==">AMUW2mUxkiWnv20dNUg+ger+Owcg2kwbif3xXseIOaeVYGPg7WEqypP8D7qP+KgZh7hQPbnFWMpTnIcjRfEXjjnftTNp7dWo/9g2wIUG2BSFr33KK83liUw/hcQHAA1BLWW7B3veKuDvvWIrEoaqWRziHyvsXAc7ih0uD2wVD7GUBozMlOMywwQ=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2021-07-21T09:42:00Z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